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243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0A0181" w:rsidRPr="00D55B44" w14:paraId="0FBD9EA6" w14:textId="77777777" w:rsidTr="000A0181">
        <w:tc>
          <w:tcPr>
            <w:tcW w:w="9243" w:type="dxa"/>
            <w:shd w:val="clear" w:color="auto" w:fill="BFBFBF" w:themeFill="background1" w:themeFillShade="BF"/>
          </w:tcPr>
          <w:p w14:paraId="44F896CA" w14:textId="7179ED24" w:rsidR="000A0181" w:rsidRPr="000A0181" w:rsidRDefault="000A0181" w:rsidP="000A018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0181">
              <w:rPr>
                <w:rFonts w:ascii="Arial" w:hAnsi="Arial" w:cs="Arial"/>
                <w:b/>
                <w:bCs/>
                <w:sz w:val="24"/>
                <w:szCs w:val="24"/>
              </w:rPr>
              <w:t>SUGESTÃO DE TEXTO: ADAPTAR PARA A REALIDADE DE CADA PROGRAMA</w:t>
            </w:r>
          </w:p>
        </w:tc>
      </w:tr>
    </w:tbl>
    <w:p w14:paraId="33ED2AD1" w14:textId="77777777" w:rsidR="000A0181" w:rsidRDefault="000A0181" w:rsidP="000A018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E4C8B9" w14:textId="762CE8D5" w:rsidR="000A0181" w:rsidRPr="000A0181" w:rsidRDefault="000A0181" w:rsidP="000A018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A0181">
        <w:rPr>
          <w:rFonts w:ascii="Arial" w:hAnsi="Arial" w:cs="Arial"/>
          <w:b/>
          <w:bCs/>
          <w:sz w:val="24"/>
          <w:szCs w:val="24"/>
        </w:rPr>
        <w:t>Infraestrutura de Conectividade e Recursos Tecnológicos para Programas de Pós-Graduação na UEM</w:t>
      </w:r>
    </w:p>
    <w:p w14:paraId="5FF53D71" w14:textId="77777777" w:rsidR="000A0181" w:rsidRPr="000A0181" w:rsidRDefault="000A0181" w:rsidP="000A0181">
      <w:pPr>
        <w:jc w:val="both"/>
        <w:rPr>
          <w:rFonts w:ascii="Arial" w:hAnsi="Arial" w:cs="Arial"/>
          <w:sz w:val="24"/>
          <w:szCs w:val="24"/>
        </w:rPr>
      </w:pPr>
    </w:p>
    <w:p w14:paraId="5E4308E4" w14:textId="28D980E0" w:rsidR="000A0181" w:rsidRDefault="000A0181" w:rsidP="000A01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A Universidade Estadual de Maringá (UEM) possui uma infraestrutura de conectividade fundamental para o suporte aos Programas de Pós-graduação no ensino, pesquisa e colaboração acadêmica. Atualmente, a instituição conta com dois links de conexão principal:</w:t>
      </w:r>
    </w:p>
    <w:p w14:paraId="3B31C779" w14:textId="77777777" w:rsidR="000A0181" w:rsidRPr="000A0181" w:rsidRDefault="000A0181" w:rsidP="000A0181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4CB901CC" w14:textId="77777777" w:rsidR="000A0181" w:rsidRPr="000A0181" w:rsidRDefault="000A0181" w:rsidP="000A0181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A0181">
        <w:rPr>
          <w:rFonts w:ascii="Arial" w:hAnsi="Arial" w:cs="Arial"/>
          <w:sz w:val="24"/>
          <w:szCs w:val="24"/>
        </w:rPr>
        <w:t>PoP</w:t>
      </w:r>
      <w:proofErr w:type="spellEnd"/>
      <w:r w:rsidRPr="000A0181">
        <w:rPr>
          <w:rFonts w:ascii="Arial" w:hAnsi="Arial" w:cs="Arial"/>
          <w:sz w:val="24"/>
          <w:szCs w:val="24"/>
        </w:rPr>
        <w:t>-PR (UFPR/RNP): Link de 3 Gbps para acesso à Internet, garantindo conectividade de alto desempenho para atividades acadêmicas e administrativas.</w:t>
      </w:r>
    </w:p>
    <w:p w14:paraId="62DA5C6E" w14:textId="1BE80B9B" w:rsidR="000A0181" w:rsidRPr="000A0181" w:rsidRDefault="000A0181" w:rsidP="000A0181">
      <w:pPr>
        <w:pStyle w:val="PargrafodaLista"/>
        <w:numPr>
          <w:ilvl w:val="0"/>
          <w:numId w:val="13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IX-PR (UEM): Link de 1 Gbps, exclusivo para tráfego regional, otimizando o acesso a redes locais e provedores de serviço no Paraná.</w:t>
      </w:r>
    </w:p>
    <w:p w14:paraId="05B0CC33" w14:textId="169EBD8C" w:rsidR="000A0181" w:rsidRPr="000A0181" w:rsidRDefault="000A0181" w:rsidP="000A018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 infraestrutura de rede interna da UEM abrange a sede e os seus campi, utilizando uma arquitetura Ethernet com links de 1 Gbps entre os blocos e conexões de 100 Mbps das estações de trabalho até os switches de distribuição. Os campi estão interligados à sede por meio de uma rede privativa MPLS da </w:t>
      </w:r>
      <w:proofErr w:type="spellStart"/>
      <w:r w:rsidRPr="000A0181">
        <w:rPr>
          <w:rFonts w:ascii="Arial" w:hAnsi="Arial" w:cs="Arial"/>
          <w:sz w:val="24"/>
          <w:szCs w:val="24"/>
        </w:rPr>
        <w:t>Ligga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(antiga Copel Telecom), com velocidades variando entre 10 Mbps e 100 Mbps.</w:t>
      </w:r>
    </w:p>
    <w:p w14:paraId="6A96714E" w14:textId="5C0A7C59" w:rsid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 infraestrutura Wi-Fi da UEM, incluindo o </w:t>
      </w:r>
      <w:proofErr w:type="spellStart"/>
      <w:r w:rsidRPr="000A0181">
        <w:rPr>
          <w:rFonts w:ascii="Arial" w:hAnsi="Arial" w:cs="Arial"/>
          <w:sz w:val="24"/>
          <w:szCs w:val="24"/>
        </w:rPr>
        <w:t>eduroam</w:t>
      </w:r>
      <w:proofErr w:type="spellEnd"/>
      <w:r w:rsidRPr="000A0181">
        <w:rPr>
          <w:rFonts w:ascii="Arial" w:hAnsi="Arial" w:cs="Arial"/>
          <w:sz w:val="24"/>
          <w:szCs w:val="24"/>
        </w:rPr>
        <w:t>, conta com aproximadamente 400 pontos de acesso (</w:t>
      </w:r>
      <w:proofErr w:type="spellStart"/>
      <w:r w:rsidRPr="000A0181">
        <w:rPr>
          <w:rFonts w:ascii="Arial" w:hAnsi="Arial" w:cs="Arial"/>
          <w:sz w:val="24"/>
          <w:szCs w:val="24"/>
        </w:rPr>
        <w:t>APs</w:t>
      </w:r>
      <w:proofErr w:type="spellEnd"/>
      <w:r w:rsidRPr="000A0181">
        <w:rPr>
          <w:rFonts w:ascii="Arial" w:hAnsi="Arial" w:cs="Arial"/>
          <w:sz w:val="24"/>
          <w:szCs w:val="24"/>
        </w:rPr>
        <w:t>) instalados, garantindo ampla cobertura nos campi.</w:t>
      </w:r>
    </w:p>
    <w:p w14:paraId="19514D2F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2885A0B1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 UEM possui licença do Google </w:t>
      </w:r>
      <w:proofErr w:type="spellStart"/>
      <w:r w:rsidRPr="000A0181">
        <w:rPr>
          <w:rFonts w:ascii="Arial" w:hAnsi="Arial" w:cs="Arial"/>
          <w:sz w:val="24"/>
          <w:szCs w:val="24"/>
        </w:rPr>
        <w:t>Workspace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for </w:t>
      </w:r>
      <w:proofErr w:type="spellStart"/>
      <w:r w:rsidRPr="000A0181">
        <w:rPr>
          <w:rFonts w:ascii="Arial" w:hAnsi="Arial" w:cs="Arial"/>
          <w:sz w:val="24"/>
          <w:szCs w:val="24"/>
        </w:rPr>
        <w:t>Education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Plus, um conjunto de ferramentas avançadas que potencializam as atividades dos programas de pós-graduação, promovendo maior eficiência no ensino, pesquisa e gestão acadêmica. Entre os principais recursos estão: </w:t>
      </w:r>
    </w:p>
    <w:p w14:paraId="29727A99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a) Google </w:t>
      </w:r>
      <w:proofErr w:type="spellStart"/>
      <w:r w:rsidRPr="000A0181">
        <w:rPr>
          <w:rFonts w:ascii="Arial" w:hAnsi="Arial" w:cs="Arial"/>
          <w:sz w:val="24"/>
          <w:szCs w:val="24"/>
        </w:rPr>
        <w:t>Classroom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: Gerenciamento de turmas, distribuição de materiais, avaliações e feedback interativo; </w:t>
      </w:r>
    </w:p>
    <w:p w14:paraId="27D60052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b) Google Meet: Videoconferências para aulas, reuniões acadêmicas e defesas de dissertação ou tese.</w:t>
      </w:r>
    </w:p>
    <w:p w14:paraId="57D7213B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c) Google </w:t>
      </w:r>
      <w:proofErr w:type="spellStart"/>
      <w:r w:rsidRPr="000A0181">
        <w:rPr>
          <w:rFonts w:ascii="Arial" w:hAnsi="Arial" w:cs="Arial"/>
          <w:sz w:val="24"/>
          <w:szCs w:val="24"/>
        </w:rPr>
        <w:t>Forms</w:t>
      </w:r>
      <w:proofErr w:type="spellEnd"/>
      <w:r w:rsidRPr="000A0181">
        <w:rPr>
          <w:rFonts w:ascii="Arial" w:hAnsi="Arial" w:cs="Arial"/>
          <w:sz w:val="24"/>
          <w:szCs w:val="24"/>
        </w:rPr>
        <w:t>: Criação de formulários para coleta de dados, pesquisas e avaliações;</w:t>
      </w:r>
    </w:p>
    <w:p w14:paraId="7322AD4C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d) Google </w:t>
      </w:r>
      <w:proofErr w:type="spellStart"/>
      <w:r w:rsidRPr="000A0181">
        <w:rPr>
          <w:rFonts w:ascii="Arial" w:hAnsi="Arial" w:cs="Arial"/>
          <w:sz w:val="24"/>
          <w:szCs w:val="24"/>
        </w:rPr>
        <w:t>Assignments</w:t>
      </w:r>
      <w:proofErr w:type="spellEnd"/>
      <w:r w:rsidRPr="000A0181">
        <w:rPr>
          <w:rFonts w:ascii="Arial" w:hAnsi="Arial" w:cs="Arial"/>
          <w:sz w:val="24"/>
          <w:szCs w:val="24"/>
        </w:rPr>
        <w:t>: Ferramenta de gerenciamento de atividades com verificação automática de plágio.</w:t>
      </w:r>
    </w:p>
    <w:p w14:paraId="145F26C9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e) Google Drive: Espaço seguro para armazenamento e compartilhamento de documentos, apresentações, planilhas e multimídia;</w:t>
      </w:r>
    </w:p>
    <w:p w14:paraId="215FAF55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f) Google Sites: Desenvolvimento de páginas web para grupos de pesquisa, eventos e disseminação de conhecimento.</w:t>
      </w:r>
    </w:p>
    <w:p w14:paraId="6ED62033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g) Google </w:t>
      </w:r>
      <w:proofErr w:type="spellStart"/>
      <w:r w:rsidRPr="000A0181">
        <w:rPr>
          <w:rFonts w:ascii="Arial" w:hAnsi="Arial" w:cs="Arial"/>
          <w:sz w:val="24"/>
          <w:szCs w:val="24"/>
        </w:rPr>
        <w:t>Docs</w:t>
      </w:r>
      <w:proofErr w:type="spellEnd"/>
      <w:r w:rsidRPr="000A0181">
        <w:rPr>
          <w:rFonts w:ascii="Arial" w:hAnsi="Arial" w:cs="Arial"/>
          <w:sz w:val="24"/>
          <w:szCs w:val="24"/>
        </w:rPr>
        <w:t>: Edição colaborativa de artigos científicos, dissertações e relatórios.</w:t>
      </w:r>
    </w:p>
    <w:p w14:paraId="279E39F1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h) Google </w:t>
      </w:r>
      <w:proofErr w:type="spellStart"/>
      <w:r w:rsidRPr="000A0181">
        <w:rPr>
          <w:rFonts w:ascii="Arial" w:hAnsi="Arial" w:cs="Arial"/>
          <w:sz w:val="24"/>
          <w:szCs w:val="24"/>
        </w:rPr>
        <w:t>Sheets</w:t>
      </w:r>
      <w:proofErr w:type="spellEnd"/>
      <w:r w:rsidRPr="000A0181">
        <w:rPr>
          <w:rFonts w:ascii="Arial" w:hAnsi="Arial" w:cs="Arial"/>
          <w:sz w:val="24"/>
          <w:szCs w:val="24"/>
        </w:rPr>
        <w:t>: Organização e análise de dados experimentais.</w:t>
      </w:r>
    </w:p>
    <w:p w14:paraId="7C219E4D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i) Google Slides: Produção de apresentações acadêmicas e defesas de trabalhos.</w:t>
      </w:r>
    </w:p>
    <w:p w14:paraId="30C2E251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j) Google </w:t>
      </w:r>
      <w:proofErr w:type="spellStart"/>
      <w:r w:rsidRPr="000A0181">
        <w:rPr>
          <w:rFonts w:ascii="Arial" w:hAnsi="Arial" w:cs="Arial"/>
          <w:sz w:val="24"/>
          <w:szCs w:val="24"/>
        </w:rPr>
        <w:t>Keep</w:t>
      </w:r>
      <w:proofErr w:type="spellEnd"/>
      <w:r w:rsidRPr="000A0181">
        <w:rPr>
          <w:rFonts w:ascii="Arial" w:hAnsi="Arial" w:cs="Arial"/>
          <w:sz w:val="24"/>
          <w:szCs w:val="24"/>
        </w:rPr>
        <w:t>: Ferramenta para anotações e registro de insights.</w:t>
      </w:r>
    </w:p>
    <w:p w14:paraId="3F70F818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l) Gmail: E-mail institucional com integração a outras ferramentas.</w:t>
      </w:r>
    </w:p>
    <w:p w14:paraId="6BEA932C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m) Google </w:t>
      </w:r>
      <w:proofErr w:type="spellStart"/>
      <w:r w:rsidRPr="000A0181">
        <w:rPr>
          <w:rFonts w:ascii="Arial" w:hAnsi="Arial" w:cs="Arial"/>
          <w:sz w:val="24"/>
          <w:szCs w:val="24"/>
        </w:rPr>
        <w:t>Calendar</w:t>
      </w:r>
      <w:proofErr w:type="spellEnd"/>
      <w:r w:rsidRPr="000A0181">
        <w:rPr>
          <w:rFonts w:ascii="Arial" w:hAnsi="Arial" w:cs="Arial"/>
          <w:sz w:val="24"/>
          <w:szCs w:val="24"/>
        </w:rPr>
        <w:t>: Planejamento de eventos, aulas e compromissos acadêmicos.</w:t>
      </w:r>
    </w:p>
    <w:p w14:paraId="4954FA13" w14:textId="56193CF4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n) Google Chat: Plataforma para comunicação instantânea entre pesquisadores, alunos e docentes.</w:t>
      </w:r>
    </w:p>
    <w:p w14:paraId="6E997BA6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lastRenderedPageBreak/>
        <w:t>O Governo do Estado do Paraná, através da Secretaria da Inovação, Modernização e Transformação Digital (SEI), destinou em dezembro de 2024 R$ 7,6 milhões para modernização da infraestrutura tecnológica da UEM. Os investimentos incluem:</w:t>
      </w:r>
    </w:p>
    <w:p w14:paraId="11298F96" w14:textId="77777777" w:rsidR="000A0181" w:rsidRPr="000A0181" w:rsidRDefault="000A0181" w:rsidP="000A0181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Aquisição de equipamentos de ponta, incluindo firewalls, switches de alta capacidade e </w:t>
      </w:r>
      <w:proofErr w:type="spellStart"/>
      <w:r w:rsidRPr="000A0181">
        <w:rPr>
          <w:rFonts w:ascii="Arial" w:hAnsi="Arial" w:cs="Arial"/>
          <w:sz w:val="24"/>
          <w:szCs w:val="24"/>
        </w:rPr>
        <w:t>transceivers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de alta velocidade;</w:t>
      </w:r>
    </w:p>
    <w:p w14:paraId="02761FC6" w14:textId="77777777" w:rsidR="000A0181" w:rsidRPr="000A0181" w:rsidRDefault="000A0181" w:rsidP="000A0181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Expansão da rede Wi-Fi, com a instalação de 800 novos </w:t>
      </w:r>
      <w:proofErr w:type="spellStart"/>
      <w:r w:rsidRPr="000A0181">
        <w:rPr>
          <w:rFonts w:ascii="Arial" w:hAnsi="Arial" w:cs="Arial"/>
          <w:sz w:val="24"/>
          <w:szCs w:val="24"/>
        </w:rPr>
        <w:t>APs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Wi-Fi 6E;</w:t>
      </w:r>
    </w:p>
    <w:p w14:paraId="08AD9DD7" w14:textId="77777777" w:rsidR="000A0181" w:rsidRPr="000A0181" w:rsidRDefault="000A0181" w:rsidP="000A0181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Reestruturação da rede de interconexão dos campi, utilizando tecnologia SD-WAN para maior confiabilidade e velocidade.</w:t>
      </w:r>
    </w:p>
    <w:p w14:paraId="078CE959" w14:textId="30120690" w:rsid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Os recursos visam aprimorar a infraestrutura de conectividade, garantindo maior eficiência no acesso à rede e ampliando a capacidade de integração tecnológica da universidade.</w:t>
      </w:r>
    </w:p>
    <w:p w14:paraId="3E928034" w14:textId="154D2615" w:rsid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4BBAA947" w14:textId="37DD642C" w:rsidR="000A0181" w:rsidRDefault="000A0181" w:rsidP="000A0181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Link da notícia: </w:t>
      </w:r>
      <w:hyperlink r:id="rId7" w:history="1">
        <w:r w:rsidRPr="00F9439C">
          <w:rPr>
            <w:rStyle w:val="Hyperlink"/>
            <w:rFonts w:ascii="Arial" w:hAnsi="Arial" w:cs="Arial"/>
            <w:sz w:val="24"/>
            <w:szCs w:val="24"/>
          </w:rPr>
          <w:t>https://noticias.uem.br/index.php?option=com_content&amp;view=article&amp;id=29827:uem-investe-em-infraestrutura-tecnologica-e-solucoes-de-inteligencia-artificial&amp;catid=986&amp;Itemid=211</w:t>
        </w:r>
      </w:hyperlink>
    </w:p>
    <w:p w14:paraId="30FE0457" w14:textId="77777777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43E0B431" w14:textId="45B56D23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Dessa forma, a</w:t>
      </w:r>
      <w:r w:rsidRPr="000A0181">
        <w:rPr>
          <w:rFonts w:ascii="Arial" w:hAnsi="Arial" w:cs="Arial"/>
          <w:sz w:val="24"/>
          <w:szCs w:val="24"/>
        </w:rPr>
        <w:t xml:space="preserve"> UEM está implementando melhorias significativas em sua infraestrutura de rede, incluindo:</w:t>
      </w:r>
    </w:p>
    <w:p w14:paraId="1E6DA794" w14:textId="77777777" w:rsidR="000A0181" w:rsidRPr="000A0181" w:rsidRDefault="000A0181" w:rsidP="000A0181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Substituição de 200 </w:t>
      </w:r>
      <w:proofErr w:type="spellStart"/>
      <w:r w:rsidRPr="000A0181">
        <w:rPr>
          <w:rFonts w:ascii="Arial" w:hAnsi="Arial" w:cs="Arial"/>
          <w:sz w:val="24"/>
          <w:szCs w:val="24"/>
        </w:rPr>
        <w:t>APs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antigos por 800 novos </w:t>
      </w:r>
      <w:proofErr w:type="spellStart"/>
      <w:r w:rsidRPr="000A0181">
        <w:rPr>
          <w:rFonts w:ascii="Arial" w:hAnsi="Arial" w:cs="Arial"/>
          <w:sz w:val="24"/>
          <w:szCs w:val="24"/>
        </w:rPr>
        <w:t>APs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Wi-Fi 6;</w:t>
      </w:r>
    </w:p>
    <w:p w14:paraId="6FC29B4D" w14:textId="77777777" w:rsidR="000A0181" w:rsidRPr="000A0181" w:rsidRDefault="000A0181" w:rsidP="000A0181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Aquisição de switches de alta capacidade, permitindo conexões de 10 Gbps ou 100 Gbps entre os blocos e 1 Gbps para estações de trabalho;</w:t>
      </w:r>
    </w:p>
    <w:p w14:paraId="17CCBE34" w14:textId="77777777" w:rsidR="000A0181" w:rsidRPr="000A0181" w:rsidRDefault="000A0181" w:rsidP="000A0181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 xml:space="preserve">Ampliação da rede de acesso, com suporte a </w:t>
      </w:r>
      <w:proofErr w:type="spellStart"/>
      <w:r w:rsidRPr="000A0181">
        <w:rPr>
          <w:rFonts w:ascii="Arial" w:hAnsi="Arial" w:cs="Arial"/>
          <w:sz w:val="24"/>
          <w:szCs w:val="24"/>
        </w:rPr>
        <w:t>APs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 com links de 2,5 Gbps, 5 Gbps e 10 Gbps, conforme demanda;</w:t>
      </w:r>
    </w:p>
    <w:p w14:paraId="24A993A7" w14:textId="77777777" w:rsidR="000A0181" w:rsidRPr="000A0181" w:rsidRDefault="000A0181" w:rsidP="000A0181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Implementação de firewalls avançados, melhorando a segurança da interligação entre os campi e preparando a infraestrutura para a adoção do anel de conectividade.</w:t>
      </w:r>
    </w:p>
    <w:p w14:paraId="45215BD2" w14:textId="7011B2A9" w:rsidR="000A0181" w:rsidRDefault="000A0181" w:rsidP="000A0181">
      <w:pPr>
        <w:pStyle w:val="PargrafodaLista"/>
        <w:numPr>
          <w:ilvl w:val="0"/>
          <w:numId w:val="15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No Campus de Umuarama, optou-se pela aquisição de infraestrutura GPON, permitindo conexões de até 10 Gbps, com distribuição de 2,5 Gbps por porta para até 8 estações.</w:t>
      </w:r>
    </w:p>
    <w:p w14:paraId="71FFE671" w14:textId="77777777" w:rsidR="000A0181" w:rsidRDefault="000A0181" w:rsidP="000A0181">
      <w:pPr>
        <w:pStyle w:val="PargrafodaLista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3509DFF7" w14:textId="56E1E8E3" w:rsid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Essas melhorias garantirão uma infraestrutura de TI moderna, segura e escalável, fortalecendo os programas de pós-graduação e impulsionando a pesquisa e inovação na UEM.</w:t>
      </w:r>
    </w:p>
    <w:p w14:paraId="33B0245B" w14:textId="77777777" w:rsid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</w:p>
    <w:p w14:paraId="1F302ACE" w14:textId="479B89FF" w:rsidR="000A0181" w:rsidRPr="000A0181" w:rsidRDefault="000A0181" w:rsidP="000A0181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0A0181">
        <w:rPr>
          <w:rFonts w:ascii="Arial" w:hAnsi="Arial" w:cs="Arial"/>
          <w:sz w:val="24"/>
          <w:szCs w:val="24"/>
        </w:rPr>
        <w:t>Finalmente, o Núcleo de Educação a Distância (</w:t>
      </w:r>
      <w:proofErr w:type="spellStart"/>
      <w:r w:rsidRPr="000A0181">
        <w:rPr>
          <w:rFonts w:ascii="Arial" w:hAnsi="Arial" w:cs="Arial"/>
          <w:sz w:val="24"/>
          <w:szCs w:val="24"/>
        </w:rPr>
        <w:t>NEaD</w:t>
      </w:r>
      <w:proofErr w:type="spellEnd"/>
      <w:r w:rsidRPr="000A0181">
        <w:rPr>
          <w:rFonts w:ascii="Arial" w:hAnsi="Arial" w:cs="Arial"/>
          <w:sz w:val="24"/>
          <w:szCs w:val="24"/>
        </w:rPr>
        <w:t xml:space="preserve">) da Universidade Estadual de Maringá (UEM) desempenha também um papel essencial no suporte às atividades acadêmicas dos programas de pós-graduação, oferecendo infraestrutura tecnológica, suporte pedagógico e capacitação para docentes e discentes que utilizam metodologias de ensino híbrido. O </w:t>
      </w:r>
      <w:proofErr w:type="spellStart"/>
      <w:r w:rsidRPr="000A0181">
        <w:rPr>
          <w:rFonts w:ascii="Arial" w:hAnsi="Arial" w:cs="Arial"/>
          <w:sz w:val="24"/>
          <w:szCs w:val="24"/>
        </w:rPr>
        <w:t>NEaD</w:t>
      </w:r>
      <w:proofErr w:type="spellEnd"/>
      <w:r w:rsidRPr="000A0181">
        <w:rPr>
          <w:rFonts w:ascii="Arial" w:hAnsi="Arial" w:cs="Arial"/>
          <w:sz w:val="24"/>
          <w:szCs w:val="24"/>
        </w:rPr>
        <w:t>-UEM disponibiliza um Ambiente Virtual de Aprendizagem (AVA) robusto, baseado na plataforma Moodle, permitindo que os cursos de pós-graduação desenvolvam atividades acadêmicas de forma interativa e eficiente.</w:t>
      </w:r>
    </w:p>
    <w:p w14:paraId="6667F4FE" w14:textId="6CB2CD06" w:rsidR="00236402" w:rsidRPr="000A0181" w:rsidRDefault="00236402" w:rsidP="000A0181"/>
    <w:sectPr w:rsidR="00236402" w:rsidRPr="000A0181" w:rsidSect="000A01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64CC0" w14:textId="77777777" w:rsidR="00906190" w:rsidRDefault="00906190" w:rsidP="00906190">
      <w:r>
        <w:separator/>
      </w:r>
    </w:p>
  </w:endnote>
  <w:endnote w:type="continuationSeparator" w:id="0">
    <w:p w14:paraId="5AEF8D9A" w14:textId="77777777" w:rsidR="00906190" w:rsidRDefault="00906190" w:rsidP="009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5773" w14:textId="77777777" w:rsidR="000E50B0" w:rsidRDefault="000E50B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A8B1F" w14:textId="77777777" w:rsidR="000E50B0" w:rsidRDefault="000E50B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2744" w14:textId="77777777" w:rsidR="000E50B0" w:rsidRDefault="000E50B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0F8CD" w14:textId="77777777" w:rsidR="00906190" w:rsidRDefault="00906190" w:rsidP="00906190">
      <w:r>
        <w:separator/>
      </w:r>
    </w:p>
  </w:footnote>
  <w:footnote w:type="continuationSeparator" w:id="0">
    <w:p w14:paraId="354F2EDA" w14:textId="77777777" w:rsidR="00906190" w:rsidRDefault="00906190" w:rsidP="0090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8878" w14:textId="77777777" w:rsidR="000E50B0" w:rsidRDefault="000E50B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2907"/>
    </w:tblGrid>
    <w:tr w:rsidR="00906190" w14:paraId="798EE97F" w14:textId="77777777" w:rsidTr="000E50B0">
      <w:trPr>
        <w:trHeight w:val="670"/>
      </w:trPr>
      <w:tc>
        <w:tcPr>
          <w:tcW w:w="1304" w:type="dxa"/>
        </w:tcPr>
        <w:p w14:paraId="7E9BE289" w14:textId="77777777" w:rsidR="00906190" w:rsidRPr="00906190" w:rsidRDefault="00906190" w:rsidP="00906190">
          <w:pPr>
            <w:pStyle w:val="Cabealho"/>
            <w:spacing w:before="240"/>
            <w:rPr>
              <w:rFonts w:ascii="Arial" w:hAnsi="Arial" w:cs="Arial"/>
              <w:color w:val="000000"/>
              <w:sz w:val="24"/>
              <w:szCs w:val="24"/>
            </w:rPr>
          </w:pPr>
          <w:r w:rsidRPr="00906190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AA0A757" wp14:editId="1314EF36">
                <wp:extent cx="790575" cy="876300"/>
                <wp:effectExtent l="0" t="0" r="0" b="0"/>
                <wp:docPr id="81625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6E1F6374" w14:textId="45374423" w:rsidR="00906190" w:rsidRPr="00906190" w:rsidRDefault="00906190" w:rsidP="00906190">
          <w:pPr>
            <w:pStyle w:val="Cabealho"/>
            <w:spacing w:before="360"/>
            <w:jc w:val="center"/>
            <w:rPr>
              <w:rFonts w:ascii="Arial" w:hAnsi="Arial" w:cs="Arial"/>
              <w:b/>
              <w:iCs/>
              <w:spacing w:val="28"/>
              <w:sz w:val="24"/>
              <w:szCs w:val="24"/>
            </w:rPr>
          </w:pPr>
          <w:r w:rsidRPr="00906190">
            <w:rPr>
              <w:rFonts w:ascii="Arial" w:hAnsi="Arial" w:cs="Arial"/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0E3838B2" w14:textId="01C3BB1D" w:rsid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906190">
            <w:rPr>
              <w:rFonts w:ascii="Arial" w:hAnsi="Arial" w:cs="Arial"/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rFonts w:ascii="Arial" w:hAnsi="Arial" w:cs="Arial"/>
              <w:color w:val="000000"/>
              <w:sz w:val="24"/>
              <w:szCs w:val="24"/>
            </w:rPr>
            <w:t xml:space="preserve"> de Pesquisa e Pós-Graduação</w:t>
          </w:r>
        </w:p>
        <w:p w14:paraId="4CEE014E" w14:textId="09972D83" w:rsidR="000E50B0" w:rsidRPr="00906190" w:rsidRDefault="000E50B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Diretoria de Pós-Graduação</w:t>
          </w:r>
        </w:p>
        <w:p w14:paraId="1DE3B944" w14:textId="77777777" w:rsidR="00906190" w:rsidRP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</w:tc>
      <w:tc>
        <w:tcPr>
          <w:tcW w:w="2907" w:type="dxa"/>
          <w:vAlign w:val="center"/>
        </w:tcPr>
        <w:p w14:paraId="44472CCF" w14:textId="77777777" w:rsidR="00906190" w:rsidRDefault="00906190" w:rsidP="00906190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4EE0A9E0" wp14:editId="40E8B149">
                <wp:extent cx="1028700" cy="857250"/>
                <wp:effectExtent l="0" t="0" r="0" b="0"/>
                <wp:docPr id="594791339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8C0D4E" w14:textId="77777777" w:rsidR="00906190" w:rsidRDefault="009061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4370F" w14:textId="77777777" w:rsidR="000E50B0" w:rsidRDefault="000E50B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92B93"/>
    <w:multiLevelType w:val="hybridMultilevel"/>
    <w:tmpl w:val="E5D6FD9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286009"/>
    <w:multiLevelType w:val="hybridMultilevel"/>
    <w:tmpl w:val="10389F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771822"/>
    <w:multiLevelType w:val="hybridMultilevel"/>
    <w:tmpl w:val="EE1EA3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C44"/>
    <w:multiLevelType w:val="hybridMultilevel"/>
    <w:tmpl w:val="708074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C4B84"/>
    <w:multiLevelType w:val="hybridMultilevel"/>
    <w:tmpl w:val="07583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F70"/>
    <w:multiLevelType w:val="hybridMultilevel"/>
    <w:tmpl w:val="960E0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4225"/>
    <w:multiLevelType w:val="hybridMultilevel"/>
    <w:tmpl w:val="6B1455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3EA4"/>
    <w:multiLevelType w:val="hybridMultilevel"/>
    <w:tmpl w:val="AAC017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B4167"/>
    <w:multiLevelType w:val="hybridMultilevel"/>
    <w:tmpl w:val="8CCA9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9BA"/>
    <w:multiLevelType w:val="hybridMultilevel"/>
    <w:tmpl w:val="B3E6F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3C99"/>
    <w:multiLevelType w:val="hybridMultilevel"/>
    <w:tmpl w:val="17346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70D5"/>
    <w:multiLevelType w:val="hybridMultilevel"/>
    <w:tmpl w:val="2772A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63AC5"/>
    <w:multiLevelType w:val="hybridMultilevel"/>
    <w:tmpl w:val="93EC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91F20"/>
    <w:multiLevelType w:val="hybridMultilevel"/>
    <w:tmpl w:val="8DB611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77214"/>
    <w:multiLevelType w:val="hybridMultilevel"/>
    <w:tmpl w:val="691AA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3"/>
  </w:num>
  <w:num w:numId="12">
    <w:abstractNumId w:val="7"/>
  </w:num>
  <w:num w:numId="13">
    <w:abstractNumId w:val="9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LQ0NbQ0sTQ3MDVT0lEKTi0uzszPAykwtKwFAFjNhOMtAAAA"/>
  </w:docVars>
  <w:rsids>
    <w:rsidRoot w:val="001C7F13"/>
    <w:rsid w:val="00027979"/>
    <w:rsid w:val="0003157A"/>
    <w:rsid w:val="0003602C"/>
    <w:rsid w:val="000608B3"/>
    <w:rsid w:val="000A0181"/>
    <w:rsid w:val="000D1EAC"/>
    <w:rsid w:val="000D7C4A"/>
    <w:rsid w:val="000E50B0"/>
    <w:rsid w:val="000E6E1B"/>
    <w:rsid w:val="000F6A0A"/>
    <w:rsid w:val="001471BF"/>
    <w:rsid w:val="00163F8E"/>
    <w:rsid w:val="001806A8"/>
    <w:rsid w:val="00187264"/>
    <w:rsid w:val="00193261"/>
    <w:rsid w:val="001A7F34"/>
    <w:rsid w:val="001C0435"/>
    <w:rsid w:val="001C7F13"/>
    <w:rsid w:val="001F1AEF"/>
    <w:rsid w:val="00202806"/>
    <w:rsid w:val="00206251"/>
    <w:rsid w:val="0021388F"/>
    <w:rsid w:val="0021472D"/>
    <w:rsid w:val="00216FDF"/>
    <w:rsid w:val="00236402"/>
    <w:rsid w:val="00284958"/>
    <w:rsid w:val="00284B0C"/>
    <w:rsid w:val="002B3CEF"/>
    <w:rsid w:val="002C1D90"/>
    <w:rsid w:val="002D7147"/>
    <w:rsid w:val="002D7B69"/>
    <w:rsid w:val="002E0A3F"/>
    <w:rsid w:val="002F62AA"/>
    <w:rsid w:val="0030121E"/>
    <w:rsid w:val="003071F8"/>
    <w:rsid w:val="00307D3A"/>
    <w:rsid w:val="00311585"/>
    <w:rsid w:val="0032501B"/>
    <w:rsid w:val="003564CB"/>
    <w:rsid w:val="003747C6"/>
    <w:rsid w:val="003760D0"/>
    <w:rsid w:val="00376645"/>
    <w:rsid w:val="0038636C"/>
    <w:rsid w:val="003A0CAB"/>
    <w:rsid w:val="003A39F1"/>
    <w:rsid w:val="003A40FA"/>
    <w:rsid w:val="003B786E"/>
    <w:rsid w:val="003C3C67"/>
    <w:rsid w:val="003D7CF7"/>
    <w:rsid w:val="003F083B"/>
    <w:rsid w:val="00467DC6"/>
    <w:rsid w:val="00474E56"/>
    <w:rsid w:val="00487122"/>
    <w:rsid w:val="004B4BD6"/>
    <w:rsid w:val="005009B3"/>
    <w:rsid w:val="00526A5C"/>
    <w:rsid w:val="005546D0"/>
    <w:rsid w:val="00565D89"/>
    <w:rsid w:val="00565DCF"/>
    <w:rsid w:val="00572F80"/>
    <w:rsid w:val="005745E1"/>
    <w:rsid w:val="0057574C"/>
    <w:rsid w:val="00580700"/>
    <w:rsid w:val="005A4620"/>
    <w:rsid w:val="005A4B03"/>
    <w:rsid w:val="005A56E0"/>
    <w:rsid w:val="005B2D71"/>
    <w:rsid w:val="005C4F8D"/>
    <w:rsid w:val="006023BE"/>
    <w:rsid w:val="0061066C"/>
    <w:rsid w:val="0061461C"/>
    <w:rsid w:val="006245C4"/>
    <w:rsid w:val="00625552"/>
    <w:rsid w:val="00634A2C"/>
    <w:rsid w:val="0065402E"/>
    <w:rsid w:val="00657A77"/>
    <w:rsid w:val="00670365"/>
    <w:rsid w:val="00676E33"/>
    <w:rsid w:val="00696BAD"/>
    <w:rsid w:val="006A0B87"/>
    <w:rsid w:val="006D7579"/>
    <w:rsid w:val="00731013"/>
    <w:rsid w:val="00762EC5"/>
    <w:rsid w:val="0077707D"/>
    <w:rsid w:val="007C2143"/>
    <w:rsid w:val="007C338E"/>
    <w:rsid w:val="007D5642"/>
    <w:rsid w:val="007F0AD4"/>
    <w:rsid w:val="00807396"/>
    <w:rsid w:val="0081096C"/>
    <w:rsid w:val="0086345A"/>
    <w:rsid w:val="0087322D"/>
    <w:rsid w:val="00887E17"/>
    <w:rsid w:val="0089118D"/>
    <w:rsid w:val="00894BF6"/>
    <w:rsid w:val="008C2ACE"/>
    <w:rsid w:val="008C40E5"/>
    <w:rsid w:val="008F1F50"/>
    <w:rsid w:val="0090315A"/>
    <w:rsid w:val="00906190"/>
    <w:rsid w:val="0093543E"/>
    <w:rsid w:val="00935B32"/>
    <w:rsid w:val="00967EA7"/>
    <w:rsid w:val="009831D0"/>
    <w:rsid w:val="00997C57"/>
    <w:rsid w:val="009A0959"/>
    <w:rsid w:val="009B2A86"/>
    <w:rsid w:val="009C0C1A"/>
    <w:rsid w:val="009C6C3B"/>
    <w:rsid w:val="009D293A"/>
    <w:rsid w:val="009D75D1"/>
    <w:rsid w:val="009E794F"/>
    <w:rsid w:val="009F092F"/>
    <w:rsid w:val="009F4745"/>
    <w:rsid w:val="00A138CE"/>
    <w:rsid w:val="00A17F82"/>
    <w:rsid w:val="00A25DA8"/>
    <w:rsid w:val="00A26F90"/>
    <w:rsid w:val="00A32D92"/>
    <w:rsid w:val="00A54E47"/>
    <w:rsid w:val="00A77E9C"/>
    <w:rsid w:val="00A90DCD"/>
    <w:rsid w:val="00A94EDD"/>
    <w:rsid w:val="00AA22F4"/>
    <w:rsid w:val="00AC18A3"/>
    <w:rsid w:val="00AC217C"/>
    <w:rsid w:val="00AD138C"/>
    <w:rsid w:val="00AD6550"/>
    <w:rsid w:val="00AE37B5"/>
    <w:rsid w:val="00B2576E"/>
    <w:rsid w:val="00B35C6A"/>
    <w:rsid w:val="00B45F26"/>
    <w:rsid w:val="00BB01EB"/>
    <w:rsid w:val="00BC0E99"/>
    <w:rsid w:val="00BC5D28"/>
    <w:rsid w:val="00BE23CB"/>
    <w:rsid w:val="00BF55F3"/>
    <w:rsid w:val="00C0582B"/>
    <w:rsid w:val="00C13FCD"/>
    <w:rsid w:val="00C141A2"/>
    <w:rsid w:val="00C36938"/>
    <w:rsid w:val="00C620B3"/>
    <w:rsid w:val="00C7521A"/>
    <w:rsid w:val="00C91909"/>
    <w:rsid w:val="00CA1244"/>
    <w:rsid w:val="00CB3011"/>
    <w:rsid w:val="00CC1007"/>
    <w:rsid w:val="00CC58DB"/>
    <w:rsid w:val="00CC7D3E"/>
    <w:rsid w:val="00CE0FC1"/>
    <w:rsid w:val="00CF1AED"/>
    <w:rsid w:val="00CF2E81"/>
    <w:rsid w:val="00CF59B5"/>
    <w:rsid w:val="00D179C3"/>
    <w:rsid w:val="00D22F09"/>
    <w:rsid w:val="00D52BFB"/>
    <w:rsid w:val="00D557B6"/>
    <w:rsid w:val="00D55B44"/>
    <w:rsid w:val="00D766B8"/>
    <w:rsid w:val="00DC3831"/>
    <w:rsid w:val="00DD56AE"/>
    <w:rsid w:val="00DE0BC7"/>
    <w:rsid w:val="00E1269B"/>
    <w:rsid w:val="00E23E18"/>
    <w:rsid w:val="00E242A4"/>
    <w:rsid w:val="00E321A3"/>
    <w:rsid w:val="00E35724"/>
    <w:rsid w:val="00E36B19"/>
    <w:rsid w:val="00E57182"/>
    <w:rsid w:val="00E76D01"/>
    <w:rsid w:val="00E93BD6"/>
    <w:rsid w:val="00ED52AB"/>
    <w:rsid w:val="00ED543C"/>
    <w:rsid w:val="00EE33FF"/>
    <w:rsid w:val="00F073D0"/>
    <w:rsid w:val="00F30F81"/>
    <w:rsid w:val="00F33976"/>
    <w:rsid w:val="00F559F2"/>
    <w:rsid w:val="00F665A1"/>
    <w:rsid w:val="00F96A82"/>
    <w:rsid w:val="00FA0310"/>
    <w:rsid w:val="00FA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159609A"/>
  <w15:docId w15:val="{A895C0D4-FF96-4C47-A167-6244FEC1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3A"/>
  </w:style>
  <w:style w:type="paragraph" w:styleId="Ttulo3">
    <w:name w:val="heading 3"/>
    <w:basedOn w:val="Normal"/>
    <w:link w:val="Ttulo3Char"/>
    <w:uiPriority w:val="9"/>
    <w:qFormat/>
    <w:rsid w:val="002147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D3E"/>
    <w:pPr>
      <w:ind w:left="720"/>
      <w:contextualSpacing/>
    </w:pPr>
  </w:style>
  <w:style w:type="table" w:styleId="Tabelacomgrade">
    <w:name w:val="Table Grid"/>
    <w:basedOn w:val="Tabelanormal"/>
    <w:uiPriority w:val="59"/>
    <w:rsid w:val="00657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657A7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1472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906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190"/>
  </w:style>
  <w:style w:type="paragraph" w:styleId="Rodap">
    <w:name w:val="footer"/>
    <w:basedOn w:val="Normal"/>
    <w:link w:val="RodapChar"/>
    <w:uiPriority w:val="99"/>
    <w:unhideWhenUsed/>
    <w:rsid w:val="00906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190"/>
  </w:style>
  <w:style w:type="character" w:styleId="Hyperlink">
    <w:name w:val="Hyperlink"/>
    <w:basedOn w:val="Fontepargpadro"/>
    <w:uiPriority w:val="99"/>
    <w:unhideWhenUsed/>
    <w:rsid w:val="00E23E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noticias.uem.br/index.php?option=com_content&amp;view=article&amp;id=29827:uem-investe-em-infraestrutura-tecnologica-e-solucoes-de-inteligencia-artificial&amp;catid=986&amp;Itemid=21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4528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55449</dc:creator>
  <cp:lastModifiedBy>Carlos PPG</cp:lastModifiedBy>
  <cp:revision>4</cp:revision>
  <dcterms:created xsi:type="dcterms:W3CDTF">2025-02-09T11:53:00Z</dcterms:created>
  <dcterms:modified xsi:type="dcterms:W3CDTF">2025-02-19T11:11:00Z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fe3bc21a208a6e2b28647522af6b62a5c4026772db0a3247a9d36969d232965f</vt:lpwstr>
  </property>
</Properties>
</file>